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608"/>
      </w:tblGrid>
      <w:tr>
        <w:tc>
          <w:tcPr>
            <w:tcW w:w="4746" w:type="dxa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00050" cy="466725"/>
                  <wp:effectExtent l="0" t="0" r="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МИНИСТЕРСТВО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ПРИРОДНЫХ РЕСУРСОВ И ЭКОЛОГИИ ОМСКОЙ ОБЛАСТИ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(Минприроды Омской области)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Куйбышева ул., д. 63, г. Омск, 644001</w:t>
            </w:r>
          </w:p>
          <w:p>
            <w:pPr>
              <w:jc w:val="center"/>
            </w:pPr>
            <w:r>
              <w:t>Тел.(3812) 39-35-00, факс (3812) 39-35-00</w:t>
            </w:r>
          </w:p>
          <w:p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>
                <w:rPr>
                  <w:rStyle w:val="a3"/>
                  <w:lang w:val="en-US"/>
                </w:rPr>
                <w:t>post</w:t>
              </w:r>
              <w:r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  <w:lang w:val="en-US"/>
                </w:rPr>
                <w:t>mpr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omskportal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>
            <w:pPr>
              <w:jc w:val="center"/>
            </w:pPr>
            <w:r>
              <w:t>ОКПО 90269390, ОГРН 1115543007359</w:t>
            </w:r>
          </w:p>
          <w:p>
            <w:pPr>
              <w:jc w:val="center"/>
            </w:pPr>
            <w:r>
              <w:t>ИНН/КПП 5504224070/550401001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t xml:space="preserve">___________ № </w:t>
            </w:r>
            <w:r>
              <w:rPr>
                <w:sz w:val="20"/>
                <w:szCs w:val="20"/>
              </w:rPr>
              <w:t>ИСХ-17/МПР-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43"/>
              <w:gridCol w:w="3740"/>
            </w:tblGrid>
            <w:tr>
              <w:tc>
                <w:tcPr>
                  <w:tcW w:w="743" w:type="dxa"/>
                </w:tcPr>
                <w:p>
                  <w:pPr>
                    <w:ind w:left="-113"/>
                    <w:jc w:val="center"/>
                  </w:pPr>
                  <w:r>
                    <w:t>На №</w:t>
                  </w:r>
                </w:p>
              </w:tc>
              <w:tc>
                <w:tcPr>
                  <w:tcW w:w="3740" w:type="dxa"/>
                </w:tcPr>
                <w:p>
                  <w:pPr>
                    <w:ind w:left="-108"/>
                  </w:pPr>
                  <w:r>
                    <w:rPr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 xml:space="preserve">           б/н      </w:t>
                  </w:r>
                  <w:r>
                    <w:rPr>
                      <w:color w:val="000000"/>
                      <w:sz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</w:rPr>
                    <w:t>от</w:t>
                  </w:r>
                  <w:r>
                    <w:rPr>
                      <w:sz w:val="28"/>
                      <w:u w:val="single"/>
                    </w:rPr>
                    <w:t xml:space="preserve">    </w:t>
                  </w:r>
                  <w:r>
                    <w:rPr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 xml:space="preserve">05.09.2017  _  </w:t>
                  </w:r>
                </w:p>
              </w:tc>
            </w:tr>
          </w:tbl>
          <w:p>
            <w:pPr>
              <w:jc w:val="center"/>
              <w:rPr>
                <w:b/>
              </w:rPr>
            </w:pPr>
          </w:p>
        </w:tc>
        <w:tc>
          <w:tcPr>
            <w:tcW w:w="4608" w:type="dxa"/>
          </w:tcPr>
          <w:p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>
            <w:pPr>
              <w:ind w:left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Редактору сайта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ВОмске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>
            <w:pPr>
              <w:ind w:left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(ООО «Омские онлайн-новости»)</w:t>
            </w:r>
          </w:p>
          <w:p>
            <w:pPr>
              <w:ind w:left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Н.Н. </w:t>
            </w:r>
            <w:proofErr w:type="spellStart"/>
            <w:r>
              <w:rPr>
                <w:color w:val="000000"/>
                <w:sz w:val="28"/>
                <w:szCs w:val="28"/>
              </w:rPr>
              <w:t>Ворохоб</w:t>
            </w:r>
            <w:proofErr w:type="spellEnd"/>
          </w:p>
          <w:p>
            <w:pPr>
              <w:ind w:left="357"/>
              <w:rPr>
                <w:color w:val="000000"/>
                <w:sz w:val="28"/>
                <w:szCs w:val="28"/>
              </w:rPr>
            </w:pPr>
          </w:p>
          <w:p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644099, г. Омск,                          ул. Красногвардейская, 40-40</w:t>
            </w:r>
          </w:p>
        </w:tc>
      </w:tr>
    </w:tbl>
    <w:p>
      <w:pPr>
        <w:ind w:firstLine="709"/>
        <w:jc w:val="center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Наталья Николаевна!</w:t>
      </w:r>
    </w:p>
    <w:p>
      <w:pPr>
        <w:ind w:firstLine="708"/>
        <w:jc w:val="center"/>
        <w:rPr>
          <w:sz w:val="28"/>
          <w:szCs w:val="28"/>
        </w:rPr>
      </w:pPr>
    </w:p>
    <w:p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обращение о переводе омских угольных ТЭЦ                    АО «ТГК-11» на газ, сообщаю следующее.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омской ТЭЦ-4 и омской ТЭЦ-5 с угля на газ неоднократно изучался, выполнялись технико-экономические расчеты, в том числе с привлечением специализированных проектных организаций.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АО «ТГК-11», в 2015 году ОАО «Е4-СибКОТЭС» проведена укрупненная экспертная оценка, в соответствии с </w:t>
      </w:r>
      <w:bookmarkStart w:id="0" w:name="_GoBack"/>
      <w:bookmarkEnd w:id="0"/>
      <w:r>
        <w:rPr>
          <w:sz w:val="28"/>
          <w:szCs w:val="28"/>
        </w:rPr>
        <w:t xml:space="preserve">которой стоимость перевода омских ТЭЦ-4 и ТЭЦ-5 на сжигание природного газа составляет 2,24 млрд. руб. в ценах 2014 года, или 2,71 млрд. рублей в ценах 2016 года. Следует отметить, что указанные суммы не включают в себя затраты на подключение к газораспределительным сетям и стоимость использования земельных участков при строительстве газопроводов, которые могут составить заметную прибавку капиталовложений, оценка указанных затрат проведена укрупненно и может заметно увеличиться после разработки проектной документации. Необходимо учитывать и тот факт, что реализация данного проекта будет произведена в течение длительного периода, который для омской ТЭЦ-4 может составить около 5 – 7 лет, а для омской ТЭЦ-5 – порядка 10 лет, что также приведет к значительному увеличению стоимости проекта (дополнительно за счет инфляционного роста цен). При этом перевод омских ТЭЦ-4 и ТЭЦ-5 на газ потребует значительного увеличения расходов на топливо в связи с более высокой стоимостью газа относительно углей </w:t>
      </w:r>
      <w:proofErr w:type="spellStart"/>
      <w:r>
        <w:rPr>
          <w:sz w:val="28"/>
          <w:szCs w:val="28"/>
        </w:rPr>
        <w:t>Экибастузских</w:t>
      </w:r>
      <w:proofErr w:type="spellEnd"/>
      <w:r>
        <w:rPr>
          <w:sz w:val="28"/>
          <w:szCs w:val="28"/>
        </w:rPr>
        <w:t xml:space="preserve"> бассейнов. Рост затрат на топливо при полном замещении угля составит 3,49 млрд. рублей в год в ценах 2016 года, или 21 % от общей себестоимости. По результатам анализа топливного баланса ТЭЦ по регионам России можно сделать вывод, что изменение топливных баз ТЭЦ с переводом станций с более дешевого топлива на более дорогое (с угля на газ) производится крайне редко, так как данное мероприятие ведет к росту тарифов для населения, что может привести к высокой социальной напряженности. Таким образом, в настоящее </w:t>
      </w:r>
      <w:r>
        <w:rPr>
          <w:sz w:val="28"/>
          <w:szCs w:val="28"/>
        </w:rPr>
        <w:lastRenderedPageBreak/>
        <w:t>время наиболее целесообразным является решение о сохранении существующей топливной базы для омских ТЭЦ.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остается актуальным вопрос реконструкции омских ТЭЦ в целях снижения уровня загрязнения атмосферного воздуха, вызванного работой станций, и оптимизации экологической обстановки в регионе.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</w:t>
      </w:r>
      <w:proofErr w:type="spellStart"/>
      <w:r>
        <w:rPr>
          <w:sz w:val="28"/>
          <w:szCs w:val="28"/>
        </w:rPr>
        <w:t>Матненко</w:t>
      </w:r>
      <w:proofErr w:type="spellEnd"/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В.В. Клевакина</w:t>
      </w:r>
    </w:p>
    <w:p>
      <w:pPr>
        <w:jc w:val="both"/>
      </w:pPr>
      <w:r>
        <w:rPr>
          <w:sz w:val="20"/>
          <w:szCs w:val="20"/>
        </w:rPr>
        <w:t>393-534</w:t>
      </w:r>
    </w:p>
    <w:sectPr>
      <w:headerReference w:type="default" r:id="rId9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899193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22EA95E"/>
    <w:lvl w:ilvl="0">
      <w:numFmt w:val="bullet"/>
      <w:lvlText w:val="*"/>
      <w:lvlJc w:val="left"/>
    </w:lvl>
  </w:abstractNum>
  <w:abstractNum w:abstractNumId="1" w15:restartNumberingAfterBreak="0">
    <w:nsid w:val="0D971A99"/>
    <w:multiLevelType w:val="hybridMultilevel"/>
    <w:tmpl w:val="EAD0CD1A"/>
    <w:lvl w:ilvl="0" w:tplc="14A0A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0648B8"/>
    <w:multiLevelType w:val="hybridMultilevel"/>
    <w:tmpl w:val="74402D22"/>
    <w:lvl w:ilvl="0" w:tplc="A1AE16B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48A532D"/>
    <w:multiLevelType w:val="hybridMultilevel"/>
    <w:tmpl w:val="F6B2BD16"/>
    <w:lvl w:ilvl="0" w:tplc="0F686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05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1038C3-CBB1-4023-A4E6-BD15E753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c">
    <w:name w:val="Strong"/>
    <w:uiPriority w:val="22"/>
    <w:qFormat/>
    <w:locked/>
    <w:rPr>
      <w:b/>
      <w:bCs/>
    </w:rPr>
  </w:style>
  <w:style w:type="character" w:styleId="a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Знак Знак Знак1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pr.omskpor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С. Зачинский</cp:lastModifiedBy>
  <cp:revision>2</cp:revision>
  <cp:lastPrinted>2017-09-11T09:09:00Z</cp:lastPrinted>
  <dcterms:created xsi:type="dcterms:W3CDTF">2017-09-15T05:21:00Z</dcterms:created>
  <dcterms:modified xsi:type="dcterms:W3CDTF">2017-09-15T05:21:00Z</dcterms:modified>
</cp:coreProperties>
</file>